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Макаров Валерий Викторович обратился в суд с заявлением о признании недействительными сделками перечислений денежных средств, совершенных с расчётного счёта должника на расчётный счёт Быховского А.С., в общем размере 14 079 000 рублей, применении последствий недействительности сделок. Определением Арбитражного суда города Москвы от 05.11.2019, оставленным без изменения постановлением Девятого арбитражного апелляционного суда от 28.01.2020, в удовлетворении заявленных требований отказано. Постановлением Арбитражного суда Московского округа от 26.05.2020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10, 53.1, 168 и 170 Гражданского кодекса Российской Федерации, исходил из несоответствия выводов судов фактическим обстоятельствам дела и имеющимся в деле доказательствам, а также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установить действительную правовую природу отношений между Быховским А.С. и должником, дать мотивированную оценку доводам конкурсного управляющего должником.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Быховскому Александру Семеновичу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