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Макаров Валерий Викторович обратился в суд с заявлением о признании недействительными сделками перечислений денежных средств, совершенных с расчётного счёта должника на расчётный счёт общества, в общем размере 79 407 007 рублей 46 копеек, применении последствий недействительности сделок. Определением Арбитражного суда города Москвы от 05.11.2019, оставленным без изменения постановлением Девятого арбитражного апелляционного суда от 29.01.2020, в удовлетворении заявленных требований отказано. Постановлением Арбитражного суда Московского округа от 27.05.2020 вышеуказанные судебные акты отменены, обособленный спор направлен на новое рассмотрение в Арбитражный суд города Москвы. В кассационной жалобе, поданной в Верховный Суд Российской Федерации, заявитель просит отменить постановление суда округа, оставить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судебные акты и направляя обособленный спор на новое рассмотрение, суд округа, руководствуясь положениями статей 10, 53.1 и 168 Гражданского кодекса Российской Федерации, исходил из несоответствия выводов судов фактическим обстоятельствам дела и имеющимся в деле доказательствам, а также из неполного исследования судами обстоятельств дела, которые могут иметь существенное значение для разрешения спора, что привело к преждевременным выводам и вынесению необоснованных судебных актов. При новом рассмотрении судам необходимо надлежащим образом установить действительную правовую природу отношений между обществом и должником, дать мотивированную оценку доводам конкурсного управляющего должником.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 новом рассмотрении заявитель не лишен возможности изложить свои доводы со ссылками на нормы права и имеющиеся в деле доказательства, поскольку обособленный спор направлен судом округа на новое рассмотрение, а вопрос об удовлетворении либо отказе в удовлетворении заявления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«БИК Инвест»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