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04.09.2020 направил в Верховный Суд Российской Федерации указанную кассационную жалобу, в которой изложил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процессуального срока, оснований для его удовлетворения не установлено. Так, в обоснование ходатайства заявитель сослался на получение надлежащим образом заверенных копий судебных актов 03.09.2020. При этом заявитель является инициаторов подачи кассационной жалобы, его представитель принимал участие в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Нарушений сроков изготовления оспариваемого постановления суда округа и публикации его полного текста в общедоступном источнике не допущено.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абзацу 4 пункта 3.1 § 2 Раздела III Временного порядка подачи документов в электронном виде в Верховный Суд Российской Федерации, утвержденного Президиумом Верховного Суда Российской Федерации 05.11.2014,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названного Кодекса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Заявитель не доказал принятие достаточных мер в целях недопущения пропуска процессуального срока обжалования судебных актов. Поскольку в ходатайстве не приведено иных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Департамент имущественных отношений КК (подробнее) Департамент Имущественных отношений Краснодарского края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