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торгов, проведённых согласно Протоколу о результатах проведения открытых торгов от 29.04.2019 по лоту № 1 посредством публичного предложения (сообщение на Едином федеральном реестре сведений о банкротства от 07.02.2019 № 3457997), договора купли-продажи от 06.05.2019 № Лот-1, заключенного должником по результатам торгов с обществом с ограниченной ответственностью «ФОРТ», и применении последствий их недействительности в виде возврата в конкурсную массу должника следующего недвижимого имущества: здание ремонтных механических мастерских, лит. А, площадью 2335,8 кв.м, кадастровый номер 47:14:0000000:24945; здание цеха торфопродукции, лит. А, площадью 368,0 кв. м, кадастровый номер 47:14:0000000:22369; здание котельной, лит. А, площадью 139,5 кв. м, кадастровый номер 47:14:0000000:24943; здание кузнечно-сварочного цеха, лит. А, площадью 96,8 кв. м, кадастровый номер 47:14:0000000:24944; здание склада механика, лит. А, площадью 65,6 кв. м, кадастровый номер 47:14:0000000:26327; здание склада (столярка), лит. А, площадью 57,2 кв. м, кадастровый номер 47:14:0000000:25823; здание склада (диспетчерская), лит. А, площадью 46,2 кв. м, кадастровый номер 2 47:14:0000000:23831; здание трансформаторной подстанции лит А, площадью 10,1 кв. м, кадастровый номер 47:14:0000000:25822. Определением Арбитражного суда города Санкт-Петербурга и Ленинградской области от 27.08.2019, оставленным без изменения постановлениями Тринадцатого арбитражного апелляционного суда от 21.01.2020 и Арбитражного суда Северо-Западного округа от 14.07.2020,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110, 111, 111.1 и 139 Федерального закона от 26.10.2002 № 127-ФЗ «О несостоятельности (банкротстве)», исходили из отсутствия оснований для удовлетворения заявления, поскольку установлен факт уклонения общества от исполнения обязанности по оплате имущества по договору, что привело к принятию конкурсным управляющим мер по реализации имущества в рамках повторных торгов.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 этом заявитель не лишён права обратиться с отдельным иском к лицам, которые, по мнению общества, нарушили его права.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«Палитра»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