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5 813 602 рублей 88 копеек – задолженности по заёмному обязательству, 7 360 816 рублей 85 копеек – процентов по займу, 9 699 850 рублей 83 копеек – штрафных санкций, как требования по возмещению убытков в форме упущенной выгоды, взысканию неустоек и применению иных штрафных санкций. Определением Арбитражного суда Московской области от 31.10.2019, оставленным без изменения постановлениями Десятого арбитражного апелляционного суда от 28.01.2020 и Арбитражного суда Московского округа от 22.06.2020,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16, 71, 100 Федерального закона от 26.10.2002 № 127-ФЗ «О несостоятельности (банкротстве)» и исходили из необоснованности заявленного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Pereire Trading Limited (Перейр Трейдинг Лимитед)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