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конкурсный кредитор ФИО3 обратился в суд с заявлением о взыскании с арбитражного управляющего ФИО1, ранее исполнявшего обязанности конкурсного управляющего должником, 2 798 105 рублей 24 копеек убытков. Определением Арбитражного суда Нижегородской области от 09.07.2019, оставленным без изменения постановлениями Пятого арбитражного апелляционного суда от 11.12.2019 и Арбитражного суда Волго-Вятского округа от 30.06.2020,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соответствии с правилами главы 7 Арбитражного процессуального кодекса Российской Федерации, руководствуясь статьями 15 , 1064 Гражданского кодекса Российской Федерации, статьями 20.3, 20.4, 129 Федерального закона от 26.10.2002 № 127-ФЗ «О несостоятельности (банкротстве)», исходили из доказанности всей совокупности условий, необходимых для привлечения заявителя к гражданско-правовой ответственности в виде возмещения убытков, возникших в результате не принятия мер к отказу от исполнения сделки должника, повлекшей возникновение у последнего обязанности по оплате компенсации за владение и пользование недвижимым имуществом, пеней за счёт уменьшения конкурсной массы.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а/у Волков К.А. (подробнее) ООО "Аллби" (подробнее) Судьи дела: Корнелюк Е.С.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