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04.09.2020 направил в Верховный Суд Российской Федерации указанную кассационную жалобу, в которой изложил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2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сослался на публикацию последнего оспариваемого судебного акта 04.07.2020, а также на получение надлежащим образом заверенных копий судебных актов 21.08.2020. При этом заявитель является инициатором спора и подачи кассационной жалобы, его представитель принимал участие в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Нарушений сроков изготовления оспариваемого постановления суда округа и публикации его полного текста в общедоступном источнике не допущено. 3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абзацу 4 пункта 3.1 § 2 Раздела III Временного порядка подачи документов в электронном виде в Верховный Суд Российской Федерации, утвержденного Президиумом Верховного Суда Российской Федерации 05.11.2014,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Заявитель не доказал принятие достаточных мер в целях недопущения пропуска процессуального срока обжалования судебных актов. Поскольку в ходатайстве не приведено иных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Министерство строительного комплекса Московской области о восстановлении пропущенного срока отказать, кассационную жалобу возвратить заявителю. Судья Верховного Суда А.Г. Першутов Российской Федерации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