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09.09.2020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Первоначальное направление кассационной жалобы с нарушением установленного процессуальным законодательством срока на подачу жалобы (06.08.2020) в отсутствие ходатайства о восстановлении пропущенного срока и возвращение такой жалобы без рассмотрения по существу само по себе не может свидетельствовать об уважительности пропуска срока подачи жалобы в Верховный Суд Российской Федерации.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Заявителем не приведено доводов, обосновывающих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Заявителем не приведено причин, не зависящих от него, и которые препятствовали своевременному обращению с кассационной жалобой.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«Комбинат социального питания»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Государственное бюджетное клиническое учреждение здравоохранения Ярославской области "Ярославская областная психиатрическая больница" (подробнее) Ответчики: ООО "Комбинат социального питания"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