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14.11.2019, оставленным без изменения постановлением Девятого арбитражного апелляционного суда от 17.02.2020 и постановлением Арбитражного суда Московского округа от 28.05.2020,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данный спор возник об исполнении обязательств по договору от 26.12.2014 № 31401754947 на выполнение проектных работ, заключенному между обществом (заказчик) и третьим лицом (подрядчик), права требования по которому подрядчик передал компании на основании договора от 11.12.2018 уступки требования (цессии).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подрядчиком проектной документации заказчику с учетом его замечаний по актам приемки выполненных работ, учитывая отсутствие мотивированного отказа от их подписания, а также доказательств оплаты результата работ в полном объеме, руководствуясь статьями 309 , 310 , 330 , 382 , 384 , 702 , 711 Гражданского кодекса Российской Федерации, пришли к выводу о наличии оснований для удовлетворения исковых требований. С указанными выводами впоследствии согласился суд округа. Доводы заявителя о пропуске истцом срока исковой давности и принятии судом ненадлежащих доказательств были предметом рассмотрения судов и получили правовую оценку.Доводы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полномочия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«Мосэкострой»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Н.С. Чучунова Суд: Верховный Суд РФ (подробнее) Истцы: ООО "ПРАВОВАЯ КОМПАНИЯ "СФЕРА" (подробнее) Ответчики: АО "МОСЭКОСТРОЙ"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