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города Москвы с иском к обществу с ограниченной ответственностью «Агентство банковского возврата» (далее – Общество) о взыскании 6 462 720 рублей действительной стоимости доли в уставном капитале ответчика. Решением Арбитражного суда города Москвы от 05.12.2019, оставленным без изменения постановлением Девятого арбитражного апелляционного суда от 05.02.2020 и постановлением Арбитражного суда Московского округа от 21.05.2020, требования удовлетворены в полном объеме.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определение действительной стоимости доли истца должно было осуществляться с учетом корректировки бухгалтерской отчетности юридического лица, а при возникновении сомнений - путем назначения судебной экспертизы. При расчете стоимости доли суд должен был руководствоваться чистыми активами, указанными в заключении, так как они отражают реальные финансовые показатели Общества по итогам 2017 года.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 являлась участником Общества, которой принадлежало 33% доли в уставном капитале юридического лица. Истцом 30.11.2018 подано заявление о выходе из Общества и выплате действительной стоимости доли в уставном капитале. Ссылаясь на невыплату денежных средств в полном объеме, ФИО1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93 , 94 , Гражданского кодекса Российской Федерации, статьями 14, 23, 26 Федерального закона от 08.02.1998 № 14-ФЗ «Об обществах с ограниченной ответственностью», суды удовлетворили заявленные требования, установив выход истца из Общества, в связи с чем у последнего отсутствовали основания для невыплаты причитающихся действительной стоимости доли, размер которой правомерно определен на основании налоговой декларации ответчика за 2017 год, представленной в налоговый орган 28.03.2018. Доводы заявителя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«Агентство банковского возврата»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"АГЕНТСТВО БАНКОВСКОГО ВОЗВРАТА"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