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разрешении разногласий, возникших между ним и финансовым управляющим имуществом должника ФИО2, обязании последнего включить в конкурсную массу часть страховой пенсии должника сверх величины прожиточного минимума, установленного на территории Волгоградской области, распределить указанные денежные средства между кредиторами должника, включенными в реестр требований кредиторов должника. Определением Арбитражного суда Волгоградской области от 18.12.2019, оставленным без изменения постановлениями Двенадцатого арбитражного апелляционного суда от 12.02.2020 и Арбитражного суда Поволжского округа от 14.05.2020, разногласия разрешены в пользу финансового управляющего.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Письмом Верховного Суда Российской Федерации от 24.07.2020 № 308-ЭС20-11879 настоящая кассационная жалоба заявителя в части обжалования определения Арбитражного суда Волгоградской области от 02.03.2020 по настоящему делу возвращена без рассмотрения как поданная с нарушением правил подсудности, установленных частью 2 статьи 291.1 Арбитражного процессуального кодекса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 и отказывая в удовлетворении заявленных требований, суды исходили из того, что в связи с принятием Федерального закона от 03.10.2018 № 350-ФЗ «О внесении изменений в отдельные законодательные акты Российской Федерации по вопросам назначения и выплаты пенсий» в части внесения изменений в пункт 12 статьи 21 Федерального закона № 400-ФЗ «О страховых пенсиях» с 01.01.2019 у должника имеется возможность получить исполнительский иммунитет на денежные средства из конкурсной массы в размере величины прожиточного минимума, установленного в соответствующем субъекте Российской Федерации, либо страховой пенсии по старости. Поскольку должник не имеет иного дохода кроме страховой пенсии по старости, суды, действуя в рамках предоставленных им дискреционных полномочий, обоснованно указали, что для удовлетворения его жизненно необходимых потребностей получение из конкурсной массы сумм, соответствующих величине прожиточного минимума, не достаточно, в связи с чем признали за ним право на получение всей страховой пенсии по старости в личное пользование.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кредитному потребительскому кооперативу «Касса Взаимопомощи»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Кредитный "Касса Взаимопомощи" (подробнее) Ответчики: ООО "Хоум Кредит энд Финанс Банк" (подробнее) Иные лица: Арбитражный управляющий Бородин Сергей Владимирович (подробнее) НП СРО "СЕМТЭК"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