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участник долевого строительства – Шишин А.В. обратился в суд с заявлением об исключении из конкурсной массы должника нежилого помещения № 2223 общей площадью 75,9 кв. м. в виде 7590/2649900 долей в праве собственности на объект незавершенного строительства – жилой дом № 6-8 (по генплану) со встроенно-пристроенными административно-торговыми помещениями, подземной автостоянкой, встроенной трансформаторной подстанцией, расположенный на земельном участке площадью 6551 квадратный метр, с кадастровым номером 52:18:0070037:2005. Определением Арбитражного суда Нижегородской области от 23.10.2019, оставленным без изменения постановлениями Первого арбитражного апелляционного суда от 22.01.2020 и Арбитражного суда Волго-Вятского округа от 19.05.2020,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131 и 201.1 Федерального закона от 26.10.2002 № 127-ФЗ «О несостоятельности (банкротстве)», пришли к выводу об отсутствии правовых оснований для исключения имущества из конкурсной массы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суда округа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Шишину Анатолию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