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Гришкова Маргарита Анатольевна обратилась в суд с заявлением о включении в реестр требований о передаче жилых помещений требования о передаче квартиры, расположенной в доме по строительному адресу г. Москва, ул. Бочкова, вл. 11А, корп. 15, имеющей следующие проектные характеристики: 2-комнатная квартира на 2-ом этаже, секция № 1, условный номер 1, тип слева, проектной площадью 66,4 кв. м. Определением Арбитражного суда города Москвы от 12.11.2019, оставленным без изменения постановлениями Девятого арбитражного апелляционного суда от 03.02.2020 и Арбитражного суда Московского округа от 22.06.2020, требование признано обоснованным.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71, 100, 201.1 и 201.6 Федерального закона от 26.10.2002 № 127-ФЗ «О несостоятельности (банкротстве)», признав обязательства по оплате указанной квартиры исполненными в полном объёме, пришли к выводу об обоснованности и подтверждённости заявленных требований.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«Промсоюз»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