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21.10.2019, оставленным без изменения постановлением Четвертого арбитражного апелляционного суда от 30.01.2020, в удовлетворении требования отказано. Постановлением Арбитражного суда Восточно-Сибирского округа от 17.06.2020 указанные судебные акты оставлены без изменения. Административный орган обратился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Оценив представленные доказательства, руководствуясь положениями Федерального закона от 26.10.2002 № 127-ФЗ «О несостоятельности (банкротстве)», суды пришли к выводу о недоказанности административным органом в действиях арбитражного управляющего состава правонарушения, ответственность за совершение которого предусмотрена частью 3.1 статьи 14.13 Кодекса Российской Федерации об административных правонарушениях. Доводы жалобы были предметом рассмотрения судов и получили исчерпывающую правовую оценку применительно к установленным обстоятельствам предъявления требований по формальным критериям, в отсутствие доказательств того, что представленный отчет носит заведомо недостоверный характер, а продажа предмета залога осуществлена с нарушением.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Иркутской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