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05.08.2019, оставленным без изменения постановлением Тринадцатого арбитражного апелляционного суда от 22.11.2019, в удовлетворении иска отказано. Арбитражный суд Северо-Западного округа постановлением от 03.06.2020 отменил решение от 05.08.2019 и постановление апелляционного суда от 22.11.2019 в части отказа во взыскании процентов и в этой части направил дело на новое рассмотрение в Арбитражный суд города Санкт- Петербурга и Ленинградской области; в остальной части судебные акты оставил без изменения. В кассационной жалобе предприниматель просит об отмене судебных актов, ссылаясь на нарушение согласованного условия о прекращении договора, повлекшее неполучение ожидаемого дохода.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Судами установлено, что после расторжения договора услуг по организации пассажирских перевозок от 11.04.2016 заказчик (ответчик) погасил задолженность за фактически оказанные услуги. Наличия иных, кроме фактически понесенных истцом и возмещенных ответчиком, расходов суды сочли не доказанным, признав за предприятием право на проценты, компенсирующие несвоевременную оплату фактически оказанных услуг. Отличная от судебной оценка последствий расторжения договора не образует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ИП Богданов Антон Владимирович (подробнее) Ответчики: ЗАО "Научно-исследовательская производственная компания "Электрон"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