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26.11.2019, оставленным без изменения постановлением Пятнадцатого арбитражного апелляционного суда от 02.03.2020, в удовлетворении требований отказано. Постановлением Арбитражного суда Северо-Кавказского округа от 18.06.2020 указанные судебные акты оставлены без изменения. Общество в кассационной жалобе просит состоявшиеся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оспариваемым актом предписано прекратить взимание платы по статье «Дополнительная услуга», осуществить возврат излишне начисленной платы за содержание, ремонт и техническое обслуживание многоквартирного дома, произвести перерасчет размера платы за электроэнергию и отопление, потребленные при использовании и содержании общего имущества исходя из норматива потребления. Оценив представленные доказательства, руководствуясь положениями Жилищного кодекса Российской Федерации, Федерального закона от 04.05.2011 № 99-ФЗ «О лицензировании отдельных видов деятельности»,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Правилами осуществления деятельности по управлению многоквартирными домами, утвержденными постановлением Правительства Российской Федерации от 15.05.2013 № 416,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утвержденных постановлением Правительства Российской Федерации от 14.05.2013 № 410 и Минимальным перечнем услуг и работ, необходимых для обеспечения надлежащего содержания общего имущества в многоквартирном доме, утвержденным постановлением Правительства Российской Федерации от 03.04.2013 № 290, суды признали оспариваемое предписание законным, указав, что общество как управляющая организация нарушило правила содержания общего имущества, а именно: неправильно произвело расчеты и выставило платежные документы для оплаты собственникам в многоквартирных жилых домах электрической энергии, потребляемой при использовании и содержании общего имущества, коммунальной услуги по отоплению; в одностороннем порядке изменило порядок определения размера платы за содержание, ремонт и техническое обслуживание жилого помещения. Доводы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Указанные доводы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"Лидер-1" (подробнее) Ответчики: Государственная жилищная инспекция Ростовской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