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30.09.2019, оставленным без изменения постановлением Девятого арбитражного апелляционного суда от 17.01.2020 и постановлением Арбитражного суда Московского округа от 03.06.2020, первоначальный и встречный иски удовлетворены. В кассационной жалобе общество «СпецИнфоЛаб» просит о пересмотре судебных актов в части взыскания процентов по первоначальному иску, ссылаясь на отсутствие пользования денежными средствами.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395 Гражданского кодекса Российской Федерации проценты уплачиваются в случае просрочки в уплате, установленной в пределах спорных правоотношений.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«СпецИнфоЛаб»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"Союзинтегро" (подробнее) Ответчики: ООО "СПЕЦИНФОЛАБ"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