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банк обратился в суд с жалобой на ненадлежащее исполнение Гасановой Наталией Владимировной обязанностей конкурсного управляющего должником и взыскании с последней убытков в размере 4 290 000 000 рублей. Определением Арбитражного суда Тверской области от 18.11.2019, оставленным без изменения постановлениями Четырнадцатого арбитражного апелляционного суда от 25.03.2020 и Арбитражного суда Северо-Западного округа от 26.06.2020, признано ненадлежащим исполнение Гасановой Н.В. обязанностей конкурсного управляющего должником, выразившееся в отсутствии действий, направленных на своевременное включение в Единый федеральный реестр сведений о банкротстве сообщения о результатах процедуры наблюдения в отношении должника, отказано в удовлетворении остальной части жалобы.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жалобы банка, жалобу удовлетворить.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 и 129 Федерального закона от 26.10.2002 № 127-ФЗ «О несостоятельности (банкротстве)», исходили из недоказанности наличия грубых умышленных нарушений законодательства о несостоятельности в бездействии Гасановой Н.В.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публичным акционерным обществом «Татфондбанк»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