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11.11.2019, оставленным без изменения постановлением Пятнадцатого арбитражного апелляционного суда от 27.01.2020, в удовлетворении требований отказано. Постановлением Арбитражного суда Северо-Кавказского округа от 03.06.2020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увеличения размера платы за содержание жилого помещения в многоквартирном доме. Общество дополнительно включило оплату по статье «техническая диагностика ВДГО» и соответствующий тариф по этой статье в отсутствие решения общего собрания собственников помещений в многоквартирном доме.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Жилищного кодекса Российской Федерации, Федерального закона от 04.05.2011 № 99-ФЗ «О лицензировании отдельных видов деятельности»,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491,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416,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Российской Федерации от 14.05.2013 № 410 и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03.04.2013 № 290,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Вопреки доводам жалобы в спорный период рассмотрение дел об административных правонарушениях, предусмотренных статьей 14.1.3 Кодекса Российской Федерации об административных правонарушениях, передано органам исполнительной власти субъектов РФ, осуществляющим региональный государственный жилищный надзор (часть 1 статьи 23.55 Кодекса Российской Федерации об административных правонарушениях). Срок давности привлечения общества к административной ответственности признан судами соблюденным с учетом вмененного правонарушения - осуществления предпринимательской деятельности по управлению многоквартирными домами с нарушением лицензионных требований, выразившегося в изменении в одностороннем порядке размера платы за содержание жилого помещения, которое не прекратилось на момент составления акта проверки от 08.05.2019. Доказательств прекращения одностороннего изменения обществом условий договора управления (увеличения тарифа на содержание и ремонт жилого помещения и возмещения расходов на техническое диагностирование ВДГО) обществом не представлено. Иные доводы были предметом исследования судов и получили исчерпывающую правовую оценку применительно к вмененному правонарушению,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ПКФ "Юг-ТТ" (подробнее) ООО Производственно-коммерческая фирма "ЮГ-ТТ" (подробнее) ООО УПРАВЛЯЮЩАЯ КОМПАНИЯ "ЮГ-ТТ" (подробнее) Ответчики: Государственная жилищная инспекция Ростовской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