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01.10.2019, оставленным без изменения постановлением Четырнадцатого арбитражного апелляционного суда от 04.12.2019, с общества в пользу департамента взыскано 477 949 руб. пеней, в удовлетворении остальной части исковых требований отказано. Постановлением Арбитражного суда Северо-Западного округа от 26.05.2020 решение суда первой инстанции и постановление суда апелляционной инстанции отменены в части требования о взыскании пеней и в части взыскания государственной пошлины, дело в этой части направлено на новое рассмотрение в Арбитражный суд Вологодской области; в остальной части решение и постановление оставлены без изменений. В кассационной жалобе, поданной в Верховный Суд Российской Федерации, департамент просит отменить постановление суда округа, ссылаясь на его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указал на необходимость установить все обстоятельства, имеющие существенное значение для правильного разрешения спора, дать оценку доводам сторон. Обжалуемое постановление суда округа принято в пределах полномочий, предоставленных арбитражному суду округа (статьи 286 ,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строительства Вологодской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строительства Вологодской области (подробнее) Ответчики: ООО "Новотек"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