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26.11.2019, оставленным без изменения постановлением Первого арбитражного апелляционного суда от 13.03.2020, арбитражный управляющий привлечен к административной ответственности, предусмотренной частью 3 статьи 14.13 2 Кодекса Российской Федерации об административных правонарушениях, и ему назначено наказание в виде предупреждения. Постановлением Арбитражного суда Волго-Вятского округа от 16.07.2020 указанные судебные акты оставлены без изменения. Арбитражный управляющий обратился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обращения в арбитражный суд с соответствующим заявлением послужил выявленный административным органом факт неисполнения арбитражным управляющим обязанностей, установленных абзацем 8 пункта 2, пунктом 4 статьи 20.3, пунктом 2 статьи 213.7, пунктом 3 статьи 138 Федерального закона от 26.10.2002 № 127-ФЗ «О несостоятельности (банкротстве)». Частью 3 статьи 14.13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3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деяния. Оценив представленные доказательства, суды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оснований для освобождения арбитражного управляющего от ответственности в связи с малозначительностью правонарушения не установлено. Наказание назначено в виде предупреждения.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управляющего, который обязан действовать добросовестно и разумно в интересах должника и кредиторов, в том числе производя расходование денежных средств должника экономно.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