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"Восход-ЛЮБ" обратилось в Арбитражный суд города Санкт-Петербурга и Ленинградской области с иском о взыскании с общества с ограниченной ответственностью "Автофлот" 2 825 535 рублей 96 копеек убытков в виде стоимости утраченного груза. Решением Арбитражного суда города Санкт-Петербурга и Ленинградской области от 08.11.2019 иск удовлетворен. Постановлением Тринадцатого арбитражного апелляционного суда от 11.02.2020 решение суда первой инстанции оставлено без изменения. Арбитражный суд Северо-Западного округа постановлением от 21.05.2020 указанные судебные акты оставил без изменения. Общество с ограниченной ответственностью "Автофлот"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обстоятельства передачи ответчику груза для перевозки, факт утраты груза, доказанность размера заявленных убытков, руководствуясь положениями статей 15 , 393 , 801 , 803 , 805 Гражданского кодекса Российской Федерации, Федерального закона от 30.06.2003 № 87-ФЗ "О транспортно-экспедиционной деятельности", постановлением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 принятии ответчиком на себя ответственности перевозчика по заключенному между сторонами договору на организацию перевозок автомобильным транспортом и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"Автофлот"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"Восход-ЛЮБ" (подробнее) Ответчики: ООО "АВТОФЛОТ"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