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20.09.2019, оставленным без изменения постановлением Тринадцатого арбитражного апелляционного суда от 10.12.2019 и постановлением Арбитражного суда Северо-Западного округа от 04.06.2020, иск удовлетворен частично. В кассационной жалобе предприниматель просит о пересмотре судебных актов, ссылаясь на неполное исследование обстоятельств исполнения договора, отсутствие оценки поведения истца и несоразмерность взысканной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являющиеся основаниями для применения ответственности, освобождения от нее и изменения ее размера, устанавливаются судами, рассматривающими дело по правилам для первой инстанции, и не создают оснований для пересмотра судебных актов в кассационной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"КОСТОМУКШСКАЯ ТОПЛИВНАЯ КОМПАНИЯ" (подробнее) Ответчики: ИП Плотников Виктор Серафимович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