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"Агропромышленный комплекс "Агрофуд" обратилось в Арбитражный суд Белгородской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"Рефлогистик" 982 482 рублей 90 копеек убытков в виде стоимости испорченного груза, 38 705 рублей стоимости утилизации испорченного груза, 2 877 рублей 98 копеек расходов на транспортировку товара, подлежащего утилизации, 171 000 рублей провозной платы, 102 000 рублей штрафа.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"Лысковский мясокомбинат". Решением Арбитражного суда Белгородской области от 24.09.2019 иск удовлетворен в части взыскания 1 130 065 рублей 88 копеек, в остальной части в удовлетворении иска отказано. Постановлением Девятнадцатого арбитражного апелляционного суда от 12.12.2019 решение суда первой инстанции оставлено без изменения. Арбитражный суд Центрального округа постановлением от 05.06.2020 указанные судебные акты оставил без изменения. Общество с ограниченной ответственностью "Рефлогистик" обратилось в Судебную коллегию по экономическим спорам Верховного Суда Российской Федерации с кассационной жалобой на принятое по делу постановление суда округа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наличие между сторонами отношений по перевозке груза в обратном направлении, установив принятие груза к перевозке, его повреждение (порчу), доказанность размера заявленных убытков, руководствуясь статьями 15 , 393 , 432 , 786 , 796 , 801 Гражданского кодекса Российской Федерации, положениями Федерального закона от 08.11.2007 № 259-ФЗ "Устав автомобильного транспорта и городского наземного электрического транспорта", постановлением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постановлением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пришли к выводу об обоснованности иска в части взыскания стоимости испорченного груза, расходов по его утилизации и транспортировке товара, подлежащего утилизации, провозной платы за перевозку груза в обратном направлении.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Довод заявителя жалобы об отсутствии в материалах дела протокола и аудиозаписи судебного заседания суда округа подлежит отклонению, поскольку Арбитражным процессуальным кодексом Российской Федерации не предусмотрено ведение протокола в суде кассационной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"Рефлогистик"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"АГРОПРОМЫШЛЕННЫЙ КОМПЛЕКС "АГРОФУД" (подробнее) Ответчики: ООО "РЕФЛОГИСТИК" (подробнее) Судьи дела: Зарубина Е.Н. (судья) (подробнее) Судебная практика по: Упущенная выгода Судебная практика по применению норм ст. 15, 393 ГК РФ Признание договора незаключенным Судебная практика по применению нормы ст. 432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