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«ТК «СВ-Транс» обратилось в Арбитражный суд Ростовской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ФИО2 1 684 413 рублей 80 копеек убытков в виде стоимости утраченного груза. К участию в деле в качестве третьих лиц, не заявляющих самостоятельных требований относительно предмета спора, привлечены ФИО3 и общество с ограниченной ответственностью «Экспресс Логистик». Решением Арбитражного суда Ростовской области от 29.11.2019 иск удовлетворен. Постановлением Пятнадцатого арбитражного апелляционного суда от 11.02.2020 решение суда первой инстанции оставлено без изменения. Арбитражный суд Северо-Кавказского округа постановлением от 02.06.2020 указанные судебные акты оставил без изменения. Индивидуальный предприниматель Петрова Анастасия Игоревна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обстоятельства передачи и принятия груза для перевозки, факт утраты груза, доказанность размера заявленных убытков, непредставление доказательств того, что утрата груза произошла вследствие обстоятельств, которые предприниматель не мог предотвратить и устранение которых от него не зависело, руководствуясь положениями статей 15 , 393 , 785 , 796 , 803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ТК СВ-ТРАНС "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