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05.11.2019, оставленным без изменения постановлением Восьмого арбитражного апелляционного суда от 05.02.2020 и постановлением Арбитражного суда Западно-Сибирского округа от 09.06.2020, в удовлетворении иска отказано. В кассационной жалобе общество «Ямалкоммунэнерго» просит об отмене судебных актов, ссылаясь на нарушение процессуальных норм о доказывании и оценке доказательств.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спорной суммы признаков неосновательного обогащения (статья 1102 Гражданского кодекса Российской Федерации), исходя из того, что представленные доказательства подтверждают ее перечисление за поставленный товар.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"Ямалкоммунэнерго" (подробнее) Ответчики: ООО "Прогресс"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