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(исполнитель) обратился в Арбитражный суд города Москвы с иском о взыскании с акционерного общества "Хайтджинро-Русь Фуд Компани" (заказчика) 30 000 рублей задолженности по оплате оказанных услуг по договору возмездного оказания услуг от 01.04.2016 и 2 783 рублей 62 копеек процентов за пользование чужими денежными средствами за период с 07.11.2017 по 31.01.2019. Судом принят встречный иск акционерного общества "Хайтджинро-Русь Фуд Компани" о взыскании с индивидуального предпринимателя ФИО1 80 000 рублей неосновательного обогащения ввиду ошибочного перечисления денежных средств. Решением Арбитражного суда города Москвы от 19.07.2019 в удовлетворении первоначального иска отказано, встречный иск удовлетворен. Постановлением Девятого арбитражного апелляционного суда от 03.12.2019 решение суда первой инстанции отменено, первоначальный иск удовлетворен, в удовлетворении встречного иска отказано. Арбитражный суд Московского округа постановлением от 22.05.2020 постановление суда апелляционной инстанции отменил и оставил в силе решение суда первой инстанции. Индивидуальный предприниматель ФИО1 обратился в Судебную коллегию Верховного Суда Российской Федерации с кассационной жалобой на решение суда первой инстанции и постановление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64 , 65 , 71 Арбитражного процессуального кодекса Российской Федерации, установив оказание исполнителем услуг за октябрь 2017 года ненадлежащего качества, мотивированный отказ заказчика от приемки данных услуг, недоказанность факта оказания исполнителем услуг заказчику за ноябрь 2017 года, признав ошибочным перечисление денежных средств заказчиком в отсутствии подписанного сторонами акта оказанных услуг за октябрь 2017 года, учитывая расторжение договора, руководствуясь положениями статей 309 , 310 , 328 , 431 , 453 , 779 , 781 , 1102 Гражданского кодекса Российской Федерации, суд первой инстанции пришел к выводу об отсутствии у заказчика задолженности по оплате и наличии на стороне исполнителя неосновательного обогащения. Проверив в порядке статей 286 , 287 Арбитражного процессуального кодекса Российской Федерации законность судебных актов, правильность применения норм материального и процессуального права при рассмотрении дела, суд округа пришел к выводу о соответствии выводов, содержащихся в решении суда первой инстанции, установленным фактическим обстоятельствам и имеющимся в деле доказательствам.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Ответчики: АО "ХАЙТДЖИНРО-РУСЬ ФУД КОМПАНИ" (подробнее) Судьи дела: Зарубина Е.Н.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