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04.10.2019, оставленным без изменения постановлением Девятого арбитражного апелляционного суда от 23.01.2020 и постановлением Арбитражного суда Московского округа от 18.05.2020, в удовлетворении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суды первой и апелляционной инстанций установили, что просрочка исполнения ответчиком обязательств по выполнению работ имела место в период с 01.05.2016 по 25.05.2016. Учитывая, что с иском в арбитражный суд истец обратился 19.07.2019, суды пришли к выводу, что в отношении названного периода истец пропустил срок исковой давности, о применении которого было заявлено ответчиком. При таких обстоятельствах, руководствуясь статьями 196 , 199 , 200 , 309 , 310 , 330 , 702 Гражданского кодекса Российской Федерации, суды отказали в удовлетворении иска, с чем впоследствии согласился суд округа.Доводы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«Гарантэнерго»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"ГарантЭнерго" (подробнее) Ответчики: ООО "ЭЛЕКТРОЩИТ-ЭМ" (подробнее) Судьи дела: Чучунова Н.С. (судья) (подробнее) Судебная практика по: По договору подряда Судебная практика по применению норм ст. 702, 703 ГК РФ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