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17.09.2019, оставленным без изменения постановлением Девятого арбитражного апелляционного суда от 27.11.2019, в удовлетворении иска отказано. Арбитражный суд Московского округа постановлением от 29.06.2020 решение от 17.09.2019 и постановление Девятого арбитражного апелляционного суда от 27.11.2019 оставил без изменения. В кассационной жалобе управление просит об отмене судебных актов, ссылаясь на надлежащие доказательства наличия полномочий у подписавшего требование о платеже по гарантии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полномочиях подписавшего требование о платеже по гарантии лица разрешен судом первой инстанции. Довод управления о представлении надлежащих доказательств полномочий получил оценку апелляционного и окружного судов и оснований для изменения такой оценки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УФСИН России по Самарской области (подробнее) Ответчики: ПАО "АКЦИОНЕРНЫЙ КОММЕРЧЕСКИЙ БАНК "ДЕРЖАВА" 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