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Карачаево-Черкесской Республики от 10.09.2019, оставленным без изменения постановлением Шестнадцатого арбитражного апелляционного суда от 14.01.2020, в удовлетворении иска отказано. Арбитражный суд Северо-Кавказского округа постановлением от 29.05.2020 решение от 10.09.2019 и постановление Шестнадцатого арбитражного апелляционного суда от 14.01.2020 оставил без изменения. В кассационной жалобе акционерное общество «ВСК» просит об отмене судебных актов, ссылаясь на толкование условий договора о его прекращении в отрыве от Правил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соответствии с пунктом 3 статьи 954 Гражданского кодекса Российской Федерации, если договором страхования предусмотрено внесение страховой премии в рассрочку, договором могут быть определены последствия неуплаты в установленные сроки очередных страховых взносов. Суды установили, что порядок прекращения договора страхования (комбинированный) строительно-монтажных рисков от 01.01.2018 № 1847018002252 в связи с неуплатой очередного взноса страховой премии согласован в тексте договора и необходимым по условиям договора уведомлением о прекращении договора является ответ компании на требование о погашении задолженности по страховым взносам.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Страховое "ВСК" (подробнее) Ответчики: ООО Инвестиционно-строительная компания "Кубанское"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