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Конституционные принципы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Воронежской области от 05.07.2019, оставленным без изменения постановлением Девятнадцатого арбитражного апелляционного суда от 22.10.2019, оспариваемое постановление признано незаконным и отменено в части назначенного наказания в виде административного штрафа, размер которого снижен судом до 6 255 847,5 рублей, в остальной части указанное постановление и оспариваемое решение оставлены без изменения. Постановлением Арбитражного суда Центрального округа от 09.06.2020 указанные судебные акты оставлены без изменения. Обжалуя судебные акты в Верховный Суд Российской Федерации, общество приводит доводы о том, что снижая размер назначенного административного штрафа, суды неправомерно произвели его расчет. Антимонопольный орган, обжалуя судебные акты в Верховный Суд Российской Федерации, приводит доводы об отсутствии у судов правовых оснований для снижения размера назначенного обществу административного штрафа. При изучении доводов жалоб, а также принятых по делу судебных актов оснований для передачи указанных жалоб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положениями Федерального закона от 26.07.2006 № 135-ФЗ «О защите конкуренции», суды признали доказанным антимонопольным органом в действиях общества состав правонарушения, ответственность за совершение которого предусмотрена частью 2 статьи 14.31 Кодекса Российской Федерации об административных правонарушениях, однако, учитывая обстоятельства, связанные с совершением административного правонарушения, его характером и последствиями, принимая во внимание принципы справедливости, неотвратимости и 3 целесообразности наказания, снизили размер назначенного обществу административного штрафа до 6 255 847,5 рублей. Доводы общества и антимонопольного органа являлись предметом рассмотрения судов и получили правовую оценку с учетом установленных фактических обстоятельств дела, связанных с совершенным обществом правонарушением и наказанием, подлежащим применению. Размер административного штрафа, подлежащего применению к обществу за совершенное деяние, определен судами с учетом принципов справедливости, неотвратимости и целесообразности наказания. Доводы антимонопольного органа о том, что суды не установили исключительных обстоятельств, позволяющих снизить размер назначенного обществу штрафа, не могут служить основанием для пересмотра обжалуемых судебных актов в порядке кассационного производства в судебной коллегии Верховного Суда Российской Федерации, поскольку указанное обстоятельство не привело к нарушению охраняемых законом публичных интересов - общество признано виновным в совершении вменяемого правонарушения и ему назначен административный штраф, размер которого определен судами с учетом целей административного наказания. Приведенные обществом и антимонопольным органом в жалобах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 общества и антимонопольного органа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