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12.09.2019, оставленным без изменения постановлением Девятого арбитражного апелляционного суда от 16.12.2019, иск удовлетворен. Арбитражный суд Московского округа постановлением от 01.06.2020 решение от 12.09.2019 и постановление Девятого арбитражного апелляционного суда от 16.12.2019 оставил без изменения. В кассационной жалобе общество «Зетта Страхование» просит об отмене судебных актов, ссылаясь на несоответствие выводов судов обстоятельствами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страховым случаем по договору страхования профессиональной деятельности от 22.03.2018 (полис ПРОФ-0009255346) является предъявление истцу требования об убытках, имевшее место в период действия страхования. Таким образом, судебные акты соответствуют договору и статье 929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«Зетта Страхование»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"ФЛЕКСИКОН" (подробнее) Ответчики: ООО "Зетта 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