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28.11.2019, оставленным без изменения постановлением Девятого арбитражного апелляционного суда от 19.02.2020 и постановлением Арбитражного суда Московского округа от 26.06.2020, в иске отказано. В кассационной жалобе торговый дом просит о пересмотре судебных актов, ссылаясь на отсутствие обязанности по возмещению убытков и невозможности их зачета к задолженности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Исходя из обстоятельств исполнения договора от 10.12.2018 № 024/2018 суды установили подготовку ответчиком к отгрузке согласованного объема товара и отказ истца в его принятии, повлекший расходы на хранение, зачтенные ответчиком к авансовому платежу в соответствии со статьей 410 Гражданского кодекса Российской Федерации. Отличная от судебной оценка обстоятельств исполнения договора и их последствий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«Нефтемаркет»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"Торговый дом "Нефтемаркет" (подробнее) Ответчики: ООО НК Ресурс Нефть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