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19.08.2019, оставленным без изменения постановлением Девятого арбитражного апелляционного суда от 16.01.2020, в удовлетворении иска отказано. Арбитражный суд Московского округа постановлением от 25.05.2020 решение от 19.08.2019 и постановление Девятого арбитражного апелляционного суда от 16.01.2020 оставил без изменения. В кассационной жалобе общество «ФПГ «Капитал» просит об отмене судебных актов, ссылаясь на презумпцию вины банка в возникновении убытков в связи со списанием денежных средств в отсутствие распоряжения клиента.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Судами установлено, что в силу Соглашения об общих правилах и условиях предоставления услуг с использованием системы Банк-Клиент «ELRUSS Internet», которые истец принял и согласился выполнять, банк не несет ответственности за убытки, понесенные клиентом в результате действий третьих лиц в Системе в отношении счета клиента, а также денежных средств, размещенных на счете, с использованием регистрационных данных пользователей и ключей подписантов, несанкционированных действий пользователей или внутренних конфликтов на стороне клиента. Таким образом, отказ во взыскании убытков основан на договоре.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«ФПГ «Капитал»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ОБЩЕСТВО С ОГРАНИЧЕННОЙ ОТВЕТСТВЕННОСТЬЮ "ФПГ "КАПИТАЛ" (подробнее) Ответчики: АО "Райффайзенбанк"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