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22.08.2019 в удовлетворении иска отказано. Семнадцатый арбитражный апелляционный суд постановлением от 09.12.2019 отменил решение от 22.08.2019 и взыскал 166 899 рублей 42 копейки убытков. Арбитражный суд Уральского округа постановлением от 26.05.2020 постановление Семнадцатого арбитражного апелляционного суда от 09.12.2019 оставил без изменения. В кассационной жалобе компания просит об отмене судебных актов апелляционного и окружного судов, ссылаясь на ответственность грузоотправителя за заявленные убытки.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установил, что груз принят компанией без замечаний к упаковке, вследствие чего компания не доказала отсутствия вины в его повреждении применительно к статье 796 , 801 , 803 Гражданского кодекса Российской Федерации, статье 7 Федерального закона от 30.06.2003 № 87-ФЗ «О транспортно-экспедиционной деятельности». Доводы, связанные с составом и размером убытков,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«Транспортная компания «Кашалот»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"Чайковский завод нестандартного оборудования "Уникон" (подробнее) Ответчики: ООО ТРАНСПОРТНАЯ КОМПАНИЯ КАШАЛОТ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