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05.07.2019, оставленным без изменения постановлением Девятнадцатого арбитражного апелляционного суда от 22.10.2019, оспариваемое постановление признано незаконным и отменено в части назначенного наказания в виде административного штрафа, размер которого снижен судом до 6 255 847,5 рублей, в остальной части указанное постановление и оспариваемое решение оставлены без изменения. Постановлением Арбитражного суда Центрального округа от 09.06.2020 указанные судебные акты оставлены без изменения. Обжалуя судебные акты в Верховный Суд Российской Федерации, общество приводит доводы о том, что снижая размер назначенного административного штрафа, суды неправомерно произвели его расчет. Антимонопольный орган, обжалуя судебные акты в Верховный Суд Российской Федерации, приводит доводы об отсутствии у судов правовых оснований для снижения размера назначенного обществу административного штрафа. При изучении доводов жалоб, а также принятых по делу судебных актов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Федерального закона от 26.07.2006 № 135-ФЗ «О защите конкуренции», суды признали доказанным антимонопольным органом в действиях общества состав правонарушения, ответственность за совершение которого предусмотрена частью 2 статьи 14.31 Кодекса Российской Федерации об административных правонарушениях, однако, учитывая обстоятельства, связанные с совершением административного правонарушения, его характером и последствиями, принимая во внимание принципы справедливости, неотвратимости и целесообразности наказания, снизили размер назначенного обществу административного штрафа до 6 255 847,5 рублей. Доводы общества и антимонопольного органа являлись предметом рассмотрения судов и получили правовую оценку с учетом установленных фактических обстоятельств дела, связанных с совершенным обществом правонарушением и наказанием, подлежащим применению. Размер административного штрафа, подлежащего применению к обществу за совершенное деяние, определен судами с учетом принципов справедливости, неотвратимости и целесообразности наказания. Доводы антимонопольного органа о том, что суды не установили исключительных обстоятельств, позволяющих снизить размер назначенного обществу штрафа, не могут служить основанием для пересмотра обжалуемых судебных актов в порядке кассационного производства в судебной коллегии Верховного Суда Российской Федерации, поскольку указанное обстоятельство не привело к нарушению охраняемых законом публичных интересов - общество признано виновным в совершении вменяемого правонарушения и ему назначен административный штраф, размер которого определен судами с учетом целей административного наказания. Приведенные обществом и антимонопольным органом в жалобах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 общества и антимонопольного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"РВК-Воронеж" (подробнее) Ответчики: Управление Федеральной антимонопольной службы по Воронежской области (подробнее) ФАС России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