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09.10.2019, оставленным без изменения постановлением Пятого арбитражного апелляционного суда от 23.01.2020 и постановлением Арбитражного суда Дальневосточного округа от 18.05.2020, договор от 11.08.2017 № 000000000350170030002/256/17/О расторгнут, в удовлетворении остальной части исковых требований отказано. В кассационной жалобе, поданной в Верховный Суд Российской Федерации, корпорация,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Приморского края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корпорация (заказчик) и общество (подрядчик) 11.08.2017 заключили договор № 000000000350170030002/256/17/О (далее – договор), по условиям которого подрядчик обязался разработать проект планировки территории, включающей проект межевания территории для размещения объекта, а также проектную документацию на строительство объекта. Корпорация (заказчик), ссылаясь на невыполнение обществом работ и непередачу их результата в установленный договором срок, обратилась в арбитражный суд с настоящим иском. Суды первой и апелляционной инстанций, руководствуясь статьями 307 , 309 , 310 , 329 , 330 , 406 , 450 , 452 , 708 , 758 , 759 , 762 Гражданского кодекса Российской Федерации,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предприняло все зависящие от него меры с целью завершить проектирование, а корпорация не подготовила надлежащим образом все необходимые исходные данные для проведения проектных работ по объекту, пришли к выводу об отсутствии оснований для расторжения договора в связи с существенным нарушением ответчиком его условий и возложения на последнего ответственности за нарушение сроков выполнения работ в виде договорной неустойки. Вместе с тем, учитывая, что стороны явно выразили свою волю на прекращение действия договора, суды удовлетворили требование о его расторжении.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«Корпорация развития Дальнего Востока»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"Корпорация развития Дальнего Востока" (подробнее) Ответчики: ООО "Бристоль-проект"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