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«Центроторг» обратилось в Арбитражный суд Республики Мордовия с иском о взыскании с индивидуального предпринимателя ФИО1 115 700 рублей ущерба по договору-заявке от 18.04.2018 № 126489. Решением Арбитражного суда Республики Мордовия от 05.11.2019 иск удовлетворен. Постановлением Первого арбитражного апелляционного суда от 24.01.2020 решение суда первой инстанции оставлено без изменения. Арбитражный суд Волго-Вятского округа постановлением от 26.06.2020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принятие ответчиком спорного груза к перевозке, установив факт его порчи в период выполнения перевозки, доказанность размера заявленных убытков, непредставление доказательств того, что повреждение (порча) груза произошло вследствие обстоятельств, которые перевозчик не мог предотвратить и устранение которых от него не зависело, руководствуясь положениями статей 15 , 393 , 401 , 785 , 793 , 796 , 803 , 1064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обоснованности иска, признав срок исковой давности не пропущенным.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ИП Беляков Б.В.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