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суд с заявлением о признании ФИО2 несостоятельным (банкротом), ссылаясь на наличие у должника перед ним просроченной свыше трех месяцев задолженности по денежным обязательствам в размере 2 875 587 рублей 64 копеек, просил ввести процедуру реализации имущества должника и утвердить финансовым управляющим ФИО3, члена Союза «Саморегулируемая организация субъектов естественных монополий топливо-энергетического комплекса (СЕМТЭК)». Определением Арбитражного суда Пермского края от 22.11.2019, оставленным без изменения постановлениями Семнадцатого арбитражного апелляционного суда от 10.02.2020 и Арбитражного суда Уральского округа от 19.05.2020, заявление признано необоснованным, производство по делу о банкротстве ФИО4 прекращено.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заявление необоснованным,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Гражданского кодекса Российской Федерации, статей 213.3-213.6 Федерального закона от 26.10.2002 № 127-ФЗ «О несостоятельности (банкротстве)», исходил из отсутствия оснований для введения в отношении должника процедуры банкротства ввиду отсутствия задолженности, позволяющей признать у должника наличие признаков банкротства. Суды апелляционной инстанции и округа поддержали выводы суда первой инстанции.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Союз Арбитражных Управляющих "Возрождение" (подробнее) СОЮЗ СРО СЕМТЭК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