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06.06.2019 взыскано 3 698 193 рублей 29 копеек задолженности. Девятый арбитражный апелляционный суд постановлением от 16.12.2019 отменил решение от 06.06.2019 и отказал в удовлетворении иска. Арбитражный суд Московского округа постановлением от 28.05.2020 постановление Девятого арбитражного апелляционного суда от 16.12.2019 оставил без изменения. В кассационной жалобе компания просит об отмене судебных актов, ссылаясь на неверное толкование условий договора страхования и игнорирование сложившегося порядка его исполнения.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Примененное судами толкование договора от 08.12.2014 № 0234-1/14 основано на статье 13 Закона Российской Федерации от 27.11.1992 № 4015-1 «Об организации страхового дела в Российской Федерации». Оснований для вмешательства в компетенцию судов на толкование договора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«Согласие»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"Согласие" (подробнее) Ответчики: АО "СТРАХОВАЯ ГРУППА "УРАЛСИБ"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