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07.11.2019, оставленным без изменения постановлением Девятого арбитражного апелляционного суда от 18.02.2020, иск удовлетворен. Арбитражный суд Московского округа постановлением от 29.05.2020 решение от 07.11.2019 и постановление Девятого арбитражного апелляционного суда от 18.02.2020 оставил без изменения. В кассационной жалобе компания просит об отмене судебных актов, ссылаясь на игнорирование судами факта нестрахования арбитражным управляющим ответственности в период с 02.12.2016 по 30.09.2017 и несоответствие вывода о наступлении страхового случая законодательству банкротстве.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судебным актом в деле о банкротстве истца установлен период исполнения арбитражным управляющим обязанностей, в котором совершены незаконные и повлекшие убытки действия, совпадающий с периодами действия заключенных договоров страхования ответственности управляющего, поэтому судебные акты соответствуют договорам и статье 24.1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"Интауголь Ресурс" (подробнее) Ответчики: ООО "Страховая компания "Арсеналъ"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