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Юридическая компания «Успех» (далее – Компания) обратилось в Арбитражный суд Ульяновской области с заявлением об исправлении арифметической ошибки, допущенной в решении суда при расчете неустойки за просрочку сдачи дома в эксплуатацию. Определением Арбитражного суда Ульяновской области от 24.10.2019, оставленным без изменения постановлением Одиннадцатого арбитражного апелляционного суда от 27.01.2020, заявление Компании удовлетворено: исправлена арифметическая ошибка, допущенная в резолютивной части решения, которое следует читать следующим образом: взыскать с общества с ограниченной ответственностью «ДВЛ-Девелопмент (далее – Общество) в пользу Компании 201 450 рублей неустойки за нарушение сроков передачи объекта долевого участия. В остальной части резолютивная часть решения оставлена в прежней редакции. Постановлением Арбитражного суда Поволжского округа от 20.05.2020 определение от 24.10.2019 и постановление от 27.01.2020 отменены, в удовлетворении заявления отказано. В кассационной жалобе, поданной в Верховный Суд Российской Федерации, заявители просят отменить постановление суда округа,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настаивает на имевшей место арифметической ошибке.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Удовлетворяя заявление суды первой и апелляционной инстанций, руководствовались статей 179 АПК РФ и исходили из того, что указанием на взыскание в пользу Компании с Общества 24 536 рублей неустойки была фактически допущена арифметическая ошибка подлежащая исправлению.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определение суда первой инстанции и постановление суда апелляционной инстанции, отказал в удовлетворении заявления, придя к верному выводу, что рассматриваемом случае исправление судом арифметической ошибки привело к изменению содержания судебного акта, отметив также ,что Компанией изначально на решение суда первой инстанции была подана апелляционная жалоба со ссылкой на неправильное применение норм материального права, повлекшее неверное определение размера подлежащей взысканию неустойки.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Юридическая компания «Успех»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юридическая компания "Успех" (подробнее) Ответчики: ООО "ДВЛ-ДЕВЕЛОПМЕНТ"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