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24.05.2019 иск удовлетворен. Определением Арбитражного суда Кемеровской области от 09.12.2019, оставленным без изменения постановлением Седьмого арбитражного апелляционного суда от 07.03.2020 и постановлением Арбитражного суда Западно-Сибирского округа от 23.06.2020, в удовлетворении заявления предпринимателя о пересмотре решения от 24.05.2019 по вновь открывшимся обстоятельствам отказано в связи с непризнанием приведенного заявителем обстоятельства вновь открывшимся. В кассационной жалобе предприниматель просит отменить судебные акты, принятые по заявлению о вновь открывшихся обстоятельствах, вследствие неправильной оценки заявленного обстоятельства.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Доказательства осуществления поставки, не представленные при рассмотрении дела, не обладают критериями, требуемыми пунктом 1 части 2 статьи 311 Арбитражного процессуального кодекса Российской Федерации для пересмотра судебного акта.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СТК "Поместье"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