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«Жефко» обратилось в Арбитражный суд Курской области с иском о взыскании с общества с ограниченной ответственностью «Евротранс» 193 000 рублей 09 копеек убытков, причиненных повреждением груза в результате перевозки, и 5 380 рублей стоимости перевозки в части, пропорциональной причиненным грузу повреждениям.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«БМВ Русланд Трейдинг». Решением Арбитражного суда Курской области от 23.07.2019 иск удовлетворен в части взыскания 193 000 рублей 09 копеек, в удовлетворении иска в остальной части отказано. Постановлением Девятнадцатого арбитражного апелляционного суда от 15.11.2019 решение суда первой инстанции в обжалуемой части оставлено без изменения. Арбитражный суд Центрального округа постановлением от 26.05.2020 указанные судебные акты оставил без изменения. Общество с ограниченной ответственностью «Евротранс»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66 , 67 , 71 Арбитражного процессуального кодекса Российской Федерации, признав доказанным принятие ответчиком спорного груза к перевозке без замечаний, установив ненадлежащее исполнение ответчиком обязательств по перевозке, выразившееся в причинении повреждений перевозимому автомобилю в процессе перевозки, непредставление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руководствуясь положениями статей 15 , 393 , 401 , 785 , 796 , 801 , 1064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в части требования о взыскании убытков.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"Жефко" (подробнее) Ответчики: ООО "ЕвроТранс" (подробнее) Иные лица: Арбитражный суд Центрального округа (подробнее) Девятнадцатый арбитражный апелляционный суд (подробнее) Десятый Арбитражный Апелляционный суд (подробнее) ООО фирма "Бакра"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