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25.06.2019, оставленным без изменения постановлением Тринадцатого арбитражного апелляционного суда от 05.02.2020, взыскано 412 095 515 рублей 41 копейка. Арбитражный суд Северо-Западного округа постановлением от 28.05.2020 решение от 25.06.2019 и постановление Тринадцатого арбитражного апелляционного суда от 05.02.2020 оставил без изменения. В кассационной жалобе банк просит об отмене судебных актов, ссылаясь на игнорирование судами обстоятельств, установленных в рамках другого дела и свидетельствующих о злоупотреблении бенефициаром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требования о платеже по банковской гарантии от 02.02.2017 № 000.19-3-1/09/041/17 предъявлены в пределах срока действия гарантии и в соответствии с ее условиями, что в силу статей 375 и 376 Гражданского кодекса Российской Федерации не позволяло банку отказать в совершении платежа. Установленные в деле № А56-120114/2018 обстоятельства не относятся к рассматриваемым требованиям о платеже.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«Акционерный банк «Россия»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"Краснозаводский химический завод" (подробнее) Ответчики: АО "Акционерный банк "Россия" (подробнее) Иные лица: в/у Демитров Д.Н. (подробнее) Инспекция Федеральной Налоговой Службы №4 по г. Москве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