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 Суд: Верховный Суд РФ (подробнее) Истцы: ВРИО к/у Муха С.А. (подробнее) ООО "АЭРОДРОМТРАНССТРОЙ" (подробнее) ООО Муха С.А. врио конк. управл. "Трансстройинвест" (подробнее) ООО "РемСтройАльянс" (подробнее) ООО "Торгсервис" (подробнее) Ответчики: ООО "ТрансСтройИнвест" (подробнее) Иные лица: Альянс управляющих (подробнее) Судьи дела: Капкаев Д.В. (судья) (подробнее) Последние документы по делу: Определение от 16 сентября 2020 г. по делу № А32-14591/2017 Определение от 21 июля 2020 г. по делу № А32-14591/2017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