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07.10.2019, оставленным без изменения постановлением Пятнадцатого арбитражного апелляционного суда от 05.12.2019, в удовлетворении требований отказано. Постановлением Арбитражного суда Северо-Кавказского округа от 10.06.2020 указанные судебные акты оставлены без изменения. Общество в кассационной жалобе просит состоявшиеся по делу судебные акты отменить, считая их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послужили выводы административного органа о ненадлежащем содержании обществом как управляющей компанией систем внутридомового газового оборудования, а именно: не обеспечены техническое обслуживание и ремонт внутридомового газового оборудования многоквартирных домов. Частью 2 статьи 14.1.3 Кодекса Российской Федерации об административных правонарушениях предусмотрена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требований, за исключением случаев, предусмотренных статьей 13.19.2 настоящего Кодекса. Оценив представленные доказательства, руководствуясь положениями Федерального закона от 04.05.2011 № 99-ФЗ «О лицензировании отдельных видов деятельности», Положения о лицензировании предпринимательской деятельности по управлению МКД, утвержденного постановлением Правительства Российской Федерации от 28.10.2014 № 1110, Жилищного кодекса Российской Федерации, Правил содержания общего имущества в многоквартирном доме, утвержденных постановлением Правительства Российской Федерации от 13.08.2006 № 491, Правил осуществления деятельности по управлению многоквартирными домами, утвержденными постановлением Правительства Российской Федерации от 15.05.2013 № 416,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газоснабжению, утвержденных постановлением Правительства Российской Федерации от 14.05.2013 № 410, Минимальным перечнем услуг и работ, необходимых для обеспечения надлежащего содержания общего имущества в многоквартирном доме, утвержденным постановлением Правительства Российской Федерации от 03.04.2013 № 290, суды пришли к выводу о наличии в действиях общества состава правонарушения, ответственность за совершение которого предусмотрена частью 2 статьи 14.1.3 Кодекса Российской Федерации об административных правонарушениях, признав, что ответственность за надлежащее содержание общего имущества многоквартирных домов несет управляющая организация. Вина общества в совершении правонарушения установлена. Процедура и срок давности привлечения к ответственности соблюдены. Оснований для признания правонарушения малозначительным и применения статьи 2.9 Кодекса Российской Федерации об административных правонарушениях судом не установлено. Доводы жалобы были предметом исследования судов и получили исчерпывающую правовую оценку применительно к вмененному правонарушению, не согласиться с которой оснований не имеется. Указанные доводы сводятся к несогласию заявителя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"Реальный мир" (подробнее) Ответчики: Государственная жилищная инспекция Ростовской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