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29.08.2019 первоначальный иск удовлетворен, в удовлетворении встречного иска отказано. Постановлением Девятого арбитражного апелляционного суда от 25.11.2019, оставленным без изменения постановлением Арбитражного суда Московского округа от 04.06.2020, решение от 29.08.2019 отменено, в удовлетворении первоначального иска отказано, встречный иск удовлетворен. В кассационной жалобе общество «Тимидея Групп» просит об отмене судебных актов апелляционного и окружного судов, ссылаясь на неполное исследование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условия договоров ограничивают права ответчика в сфере найма и увольнения работников и права потенциальных претендентов на замещение трудовых вакансий, что составляет условия для констатации их ничтожности в силу пункта 2 статьи 168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«Тимидея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"ТИМИДЕЯ ГРУПП" (подробнее) Ответчики: ООО "РусАгро-Инвест" (подробнее) Судьи дела: Ксенофонтова Н.А.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