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10.10.2019, оставленным без изменения постановлениями Двадцатого арбитражного апелляционного суда от 19.12.2020 и Арбитражного суда Центрального округа от 27.05.2020, исковые требования удовлетворены.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министерством (заказчик) и обществом (подрядчик) заключен государственный контракт от 09.02.2016 № 14/05/01 на выполнение работ по капитальному ремонту водопропускной трубы км 5+505 на автомобильной дороге Восход-Ермишь в Ермишинском районе Рязанской области. Заявленные исковые требования мотивированы невыполнением подрядчиком обязательств по соблюдению графика производства работ за июнь и июль 2016 года, за что предусмотрена ответственность пунктом 10.7 государственного контракта. Оценив представленные в материалы дела доказательства, суды, руководствуясь положениями статей 309 , 310 , 330 , 401 , 421 , 708 , 716 , 763 Гражданского кодекса Российской Федерации, статьи 34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нужд», Правилами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утвержденными постановлением Правительства Российской Федерации от 25.11.2013 № 1063, пришли к выводу о наличии оснований для возложения на ответчика гражданско-правовой ответственности в виде выплаты штрафа. Судебные инстанции, установив факт невыполнения обществом месячных объемов работ за июнь и июль 2016 года, исходили из правомерности начисления штрафных санкций в порядке пункта 10.7 контракта за невыполнение согласованного объема работ. Обстоятельства данного спора и представленные доказательства были предметом рассмотрения и оценки судов. Доводы общества о наличии оснований для освобождения его от ответственности, наличии злоупотребления правом и вины заказчика в просрочке исполнения обязательств подрядчика признаны несостоятельными, как противоречащие установленным фактическим обстоятельствам.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выражают несогласие с выводами судов по фактическим обстоятельствам спора,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«Перспектива»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транспорта и автомобильных дорог Рязанской области (подробнее) Ответчики: ООО "Перспектива" (подробнее) Иные лица: МИФНС№10 по РО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