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кассационной жалобой, заявив ходатайство о восстановлении пропущенного срока её подачи. Рассмотрев ходатайство о восстановлении процессуального срока, суд находит его обоснованным и подлежащим удовлетворению.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срок подачи кассационной жалобы на определение Арбитражного суда Новосибирской области от 25.09.2019, постановление Седьмого арбитражного апелляционного суда от 20.11.2019 и постановление Арбитражного суда Западно-Сибирского округа от 02.06.2020 по делу № А45-39362/2017 восстановить. Судья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